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68"/>
        <w:gridCol w:w="1170"/>
      </w:tblGrid>
      <w:tr w:rsidR="00305D11" w:rsidRPr="00E72307" w14:paraId="67DE48EA" w14:textId="77777777" w:rsidTr="0090536B">
        <w:trPr>
          <w:trHeight w:val="533"/>
        </w:trPr>
        <w:tc>
          <w:tcPr>
            <w:tcW w:w="8568" w:type="dxa"/>
            <w:tcBorders>
              <w:bottom w:val="single" w:sz="4" w:space="0" w:color="000000"/>
            </w:tcBorders>
            <w:shd w:val="clear" w:color="auto" w:fill="DBE5F1" w:themeFill="accent1" w:themeFillTint="33"/>
            <w:vAlign w:val="center"/>
          </w:tcPr>
          <w:p w14:paraId="3E4AF7F6" w14:textId="77777777" w:rsidR="00903BAE" w:rsidRPr="00E72307" w:rsidRDefault="00C85229"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C</w:t>
            </w:r>
            <w:r w:rsidR="006F5326">
              <w:rPr>
                <w:rFonts w:cs="Arial"/>
                <w:b/>
                <w:sz w:val="20"/>
                <w:szCs w:val="20"/>
              </w:rPr>
              <w:t>ommunity Futures</w:t>
            </w:r>
            <w:r>
              <w:rPr>
                <w:rFonts w:cs="Arial"/>
                <w:b/>
                <w:sz w:val="20"/>
                <w:szCs w:val="20"/>
              </w:rPr>
              <w:t xml:space="preserve"> Performance </w:t>
            </w:r>
            <w:r w:rsidR="006F5326">
              <w:rPr>
                <w:rFonts w:cs="Arial"/>
                <w:b/>
                <w:sz w:val="20"/>
                <w:szCs w:val="20"/>
              </w:rPr>
              <w:t>Results</w:t>
            </w:r>
          </w:p>
        </w:tc>
        <w:tc>
          <w:tcPr>
            <w:tcW w:w="1170" w:type="dxa"/>
            <w:tcBorders>
              <w:bottom w:val="single" w:sz="4" w:space="0" w:color="000000"/>
            </w:tcBorders>
            <w:shd w:val="clear" w:color="auto" w:fill="DBE5F1" w:themeFill="accent1" w:themeFillTint="33"/>
            <w:vAlign w:val="center"/>
          </w:tcPr>
          <w:p w14:paraId="5D177487" w14:textId="72DE7341" w:rsidR="00305D11" w:rsidRPr="00E72307" w:rsidRDefault="00F4504C" w:rsidP="006F52BA">
            <w:pPr>
              <w:keepNext/>
              <w:keepLines/>
              <w:tabs>
                <w:tab w:val="left" w:pos="6024"/>
                <w:tab w:val="left" w:pos="7159"/>
              </w:tabs>
              <w:autoSpaceDE w:val="0"/>
              <w:autoSpaceDN w:val="0"/>
              <w:adjustRightInd w:val="0"/>
              <w:jc w:val="center"/>
              <w:rPr>
                <w:rFonts w:cs="Arial"/>
                <w:b/>
                <w:sz w:val="20"/>
                <w:szCs w:val="20"/>
              </w:rPr>
            </w:pPr>
            <w:r>
              <w:rPr>
                <w:rFonts w:cs="Arial"/>
                <w:b/>
                <w:sz w:val="20"/>
                <w:szCs w:val="20"/>
              </w:rPr>
              <w:t>202</w:t>
            </w:r>
            <w:r w:rsidR="00E53E7D">
              <w:rPr>
                <w:rFonts w:cs="Arial"/>
                <w:b/>
                <w:sz w:val="20"/>
                <w:szCs w:val="20"/>
              </w:rPr>
              <w:t>5</w:t>
            </w:r>
            <w:r>
              <w:rPr>
                <w:rFonts w:cs="Arial"/>
                <w:b/>
                <w:sz w:val="20"/>
                <w:szCs w:val="20"/>
              </w:rPr>
              <w:t>-2</w:t>
            </w:r>
            <w:r w:rsidR="00E53E7D">
              <w:rPr>
                <w:rFonts w:cs="Arial"/>
                <w:b/>
                <w:sz w:val="20"/>
                <w:szCs w:val="20"/>
              </w:rPr>
              <w:t>6</w:t>
            </w:r>
          </w:p>
        </w:tc>
      </w:tr>
      <w:tr w:rsidR="00305D11" w:rsidRPr="00E72307" w14:paraId="7CC894EB" w14:textId="77777777" w:rsidTr="000032F8">
        <w:trPr>
          <w:trHeight w:val="659"/>
        </w:trPr>
        <w:tc>
          <w:tcPr>
            <w:tcW w:w="9738" w:type="dxa"/>
            <w:gridSpan w:val="2"/>
            <w:tcBorders>
              <w:bottom w:val="single" w:sz="4" w:space="0" w:color="000000"/>
            </w:tcBorders>
            <w:vAlign w:val="center"/>
          </w:tcPr>
          <w:p w14:paraId="55A02C19" w14:textId="77777777" w:rsidR="00305D11" w:rsidRPr="00E72307" w:rsidRDefault="00305D11" w:rsidP="000032F8">
            <w:pPr>
              <w:keepNext/>
              <w:keepLines/>
              <w:tabs>
                <w:tab w:val="left" w:pos="6024"/>
                <w:tab w:val="left" w:pos="7159"/>
              </w:tabs>
              <w:autoSpaceDE w:val="0"/>
              <w:autoSpaceDN w:val="0"/>
              <w:adjustRightInd w:val="0"/>
              <w:spacing w:after="0"/>
              <w:jc w:val="center"/>
              <w:rPr>
                <w:rFonts w:cs="Arial"/>
                <w:b/>
                <w:sz w:val="20"/>
                <w:szCs w:val="20"/>
              </w:rPr>
            </w:pPr>
            <w:r w:rsidRPr="00E72307">
              <w:rPr>
                <w:rFonts w:cs="Arial"/>
                <w:b/>
                <w:i/>
                <w:sz w:val="20"/>
                <w:szCs w:val="20"/>
              </w:rPr>
              <w:t>Strong rural community strategic planning and implementation</w:t>
            </w:r>
          </w:p>
        </w:tc>
      </w:tr>
      <w:tr w:rsidR="00305D11" w:rsidRPr="00E72307" w14:paraId="48FA43F3" w14:textId="77777777" w:rsidTr="0090536B">
        <w:trPr>
          <w:trHeight w:val="443"/>
        </w:trPr>
        <w:tc>
          <w:tcPr>
            <w:tcW w:w="8568" w:type="dxa"/>
            <w:tcBorders>
              <w:top w:val="single" w:sz="4" w:space="0" w:color="000000"/>
              <w:bottom w:val="single" w:sz="4" w:space="0" w:color="auto"/>
            </w:tcBorders>
            <w:vAlign w:val="center"/>
          </w:tcPr>
          <w:p w14:paraId="3605F368" w14:textId="4AF3F655" w:rsidR="0063129F" w:rsidRPr="00FC4FC7" w:rsidRDefault="00FC4FC7" w:rsidP="00FC4FC7">
            <w:pPr>
              <w:keepNext/>
              <w:keepLines/>
              <w:tabs>
                <w:tab w:val="left" w:pos="6024"/>
                <w:tab w:val="left" w:pos="7159"/>
              </w:tabs>
              <w:autoSpaceDE w:val="0"/>
              <w:autoSpaceDN w:val="0"/>
              <w:adjustRightInd w:val="0"/>
              <w:rPr>
                <w:rFonts w:cs="Arial"/>
                <w:b/>
                <w:sz w:val="20"/>
                <w:szCs w:val="20"/>
              </w:rPr>
            </w:pPr>
            <w:r w:rsidRPr="00FC4FC7">
              <w:rPr>
                <w:rFonts w:cs="Arial"/>
                <w:sz w:val="20"/>
                <w:szCs w:val="20"/>
              </w:rPr>
              <w:t>1.</w:t>
            </w:r>
            <w:r>
              <w:rPr>
                <w:rFonts w:cs="Arial"/>
                <w:sz w:val="20"/>
                <w:szCs w:val="20"/>
              </w:rPr>
              <w:t xml:space="preserve"> </w:t>
            </w:r>
            <w:r w:rsidRPr="00FC4FC7">
              <w:rPr>
                <w:rFonts w:cs="Arial"/>
                <w:sz w:val="20"/>
                <w:szCs w:val="20"/>
              </w:rPr>
              <w:t>N</w:t>
            </w:r>
            <w:r w:rsidR="00305D11" w:rsidRPr="00FC4FC7">
              <w:rPr>
                <w:rFonts w:cs="Arial"/>
                <w:sz w:val="20"/>
                <w:szCs w:val="20"/>
              </w:rPr>
              <w:t>umber</w:t>
            </w:r>
            <w:r w:rsidR="003E2596" w:rsidRPr="00FC4FC7">
              <w:rPr>
                <w:rFonts w:cs="Arial"/>
                <w:sz w:val="20"/>
                <w:szCs w:val="20"/>
              </w:rPr>
              <w:t xml:space="preserve"> of community</w:t>
            </w:r>
            <w:r w:rsidR="00D011D2" w:rsidRPr="00FC4FC7">
              <w:rPr>
                <w:rFonts w:cs="Arial"/>
                <w:sz w:val="20"/>
                <w:szCs w:val="20"/>
              </w:rPr>
              <w:t>-</w:t>
            </w:r>
            <w:r w:rsidR="003E2596" w:rsidRPr="00FC4FC7">
              <w:rPr>
                <w:rFonts w:cs="Arial"/>
                <w:sz w:val="20"/>
                <w:szCs w:val="20"/>
              </w:rPr>
              <w:t>based projects</w:t>
            </w:r>
            <w:r w:rsidR="00716BF1" w:rsidRPr="00FC4FC7">
              <w:rPr>
                <w:rFonts w:cs="Arial"/>
                <w:sz w:val="20"/>
                <w:szCs w:val="20"/>
              </w:rPr>
              <w:t xml:space="preserve"> </w:t>
            </w:r>
          </w:p>
        </w:tc>
        <w:tc>
          <w:tcPr>
            <w:tcW w:w="1170" w:type="dxa"/>
            <w:tcBorders>
              <w:top w:val="single" w:sz="4" w:space="0" w:color="000000"/>
              <w:bottom w:val="single" w:sz="4" w:space="0" w:color="auto"/>
            </w:tcBorders>
            <w:vAlign w:val="center"/>
          </w:tcPr>
          <w:p w14:paraId="1D57B653" w14:textId="30D9AA9C" w:rsidR="00305D11" w:rsidRPr="00E72307" w:rsidRDefault="00325025"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4</w:t>
            </w:r>
          </w:p>
        </w:tc>
      </w:tr>
      <w:tr w:rsidR="00D011D2" w:rsidRPr="00E72307" w14:paraId="50470208" w14:textId="77777777" w:rsidTr="0090536B">
        <w:trPr>
          <w:trHeight w:val="443"/>
        </w:trPr>
        <w:tc>
          <w:tcPr>
            <w:tcW w:w="8568" w:type="dxa"/>
            <w:tcBorders>
              <w:top w:val="single" w:sz="4" w:space="0" w:color="000000"/>
              <w:bottom w:val="single" w:sz="4" w:space="0" w:color="auto"/>
            </w:tcBorders>
            <w:vAlign w:val="center"/>
          </w:tcPr>
          <w:p w14:paraId="440DAB27" w14:textId="1737F3A6" w:rsidR="00D011D2" w:rsidRPr="00E351D5" w:rsidRDefault="00D011D2" w:rsidP="00716BF1">
            <w:pPr>
              <w:keepNext/>
              <w:keepLines/>
              <w:tabs>
                <w:tab w:val="left" w:pos="6024"/>
                <w:tab w:val="left" w:pos="7159"/>
              </w:tabs>
              <w:autoSpaceDE w:val="0"/>
              <w:autoSpaceDN w:val="0"/>
              <w:adjustRightInd w:val="0"/>
              <w:rPr>
                <w:rFonts w:cs="Arial"/>
                <w:b/>
                <w:sz w:val="20"/>
                <w:szCs w:val="20"/>
              </w:rPr>
            </w:pPr>
            <w:r>
              <w:rPr>
                <w:rFonts w:cs="Arial"/>
                <w:sz w:val="20"/>
                <w:szCs w:val="20"/>
              </w:rPr>
              <w:t>2</w:t>
            </w:r>
            <w:r w:rsidRPr="00E351D5">
              <w:rPr>
                <w:rFonts w:cs="Arial"/>
                <w:sz w:val="20"/>
                <w:szCs w:val="20"/>
              </w:rPr>
              <w:t xml:space="preserve">. </w:t>
            </w:r>
            <w:r w:rsidR="00FC4FC7">
              <w:rPr>
                <w:rFonts w:cs="Arial"/>
                <w:sz w:val="20"/>
                <w:szCs w:val="20"/>
              </w:rPr>
              <w:t>N</w:t>
            </w:r>
            <w:r w:rsidR="00716BF1">
              <w:rPr>
                <w:rFonts w:cs="Arial"/>
                <w:sz w:val="20"/>
                <w:szCs w:val="20"/>
              </w:rPr>
              <w:t xml:space="preserve">umber of local and </w:t>
            </w:r>
            <w:r w:rsidR="00F7423D">
              <w:rPr>
                <w:rFonts w:cs="Arial"/>
                <w:sz w:val="20"/>
                <w:szCs w:val="20"/>
              </w:rPr>
              <w:t>regionally based</w:t>
            </w:r>
            <w:r w:rsidR="00716BF1">
              <w:rPr>
                <w:rFonts w:cs="Arial"/>
                <w:sz w:val="20"/>
                <w:szCs w:val="20"/>
              </w:rPr>
              <w:t xml:space="preserve"> community strategic</w:t>
            </w:r>
            <w:r w:rsidR="00CE1F1B">
              <w:rPr>
                <w:rFonts w:cs="Arial"/>
                <w:sz w:val="20"/>
                <w:szCs w:val="20"/>
              </w:rPr>
              <w:t xml:space="preserve"> plans developed and/or updated</w:t>
            </w:r>
          </w:p>
        </w:tc>
        <w:tc>
          <w:tcPr>
            <w:tcW w:w="1170" w:type="dxa"/>
            <w:tcBorders>
              <w:top w:val="single" w:sz="4" w:space="0" w:color="000000"/>
              <w:bottom w:val="single" w:sz="4" w:space="0" w:color="auto"/>
            </w:tcBorders>
            <w:vAlign w:val="center"/>
          </w:tcPr>
          <w:p w14:paraId="5B6BC3E5" w14:textId="53F3F9BA" w:rsidR="00D011D2" w:rsidRPr="00E72307" w:rsidRDefault="006404B9" w:rsidP="00D011D2">
            <w:pPr>
              <w:keepNext/>
              <w:keepLines/>
              <w:tabs>
                <w:tab w:val="left" w:pos="6024"/>
                <w:tab w:val="left" w:pos="7159"/>
              </w:tabs>
              <w:autoSpaceDE w:val="0"/>
              <w:autoSpaceDN w:val="0"/>
              <w:adjustRightInd w:val="0"/>
              <w:jc w:val="center"/>
              <w:rPr>
                <w:rFonts w:cs="Arial"/>
                <w:b/>
                <w:sz w:val="20"/>
                <w:szCs w:val="20"/>
              </w:rPr>
            </w:pPr>
            <w:r>
              <w:rPr>
                <w:rFonts w:cs="Arial"/>
                <w:b/>
                <w:sz w:val="20"/>
                <w:szCs w:val="20"/>
              </w:rPr>
              <w:t>3</w:t>
            </w:r>
          </w:p>
        </w:tc>
      </w:tr>
      <w:tr w:rsidR="003E2596" w:rsidRPr="00E72307" w14:paraId="6DBE85C1" w14:textId="77777777" w:rsidTr="0090536B">
        <w:trPr>
          <w:trHeight w:val="463"/>
        </w:trPr>
        <w:tc>
          <w:tcPr>
            <w:tcW w:w="8568" w:type="dxa"/>
            <w:tcBorders>
              <w:top w:val="single" w:sz="4" w:space="0" w:color="auto"/>
            </w:tcBorders>
            <w:vAlign w:val="center"/>
          </w:tcPr>
          <w:p w14:paraId="4F25BE94" w14:textId="77777777" w:rsidR="003E2596" w:rsidRPr="00E351D5" w:rsidRDefault="003E2596" w:rsidP="00D011D2">
            <w:pPr>
              <w:keepNext/>
              <w:keepLines/>
              <w:tabs>
                <w:tab w:val="left" w:pos="6024"/>
                <w:tab w:val="left" w:pos="7159"/>
              </w:tabs>
              <w:autoSpaceDE w:val="0"/>
              <w:autoSpaceDN w:val="0"/>
              <w:adjustRightInd w:val="0"/>
              <w:ind w:left="270"/>
              <w:jc w:val="center"/>
              <w:rPr>
                <w:rFonts w:cs="Arial"/>
                <w:i/>
                <w:sz w:val="20"/>
                <w:szCs w:val="20"/>
              </w:rPr>
            </w:pPr>
            <w:r w:rsidRPr="00E72307">
              <w:rPr>
                <w:rFonts w:cs="Arial"/>
                <w:b/>
                <w:i/>
                <w:sz w:val="20"/>
                <w:szCs w:val="20"/>
              </w:rPr>
              <w:t>Rural access to business development services</w:t>
            </w:r>
          </w:p>
        </w:tc>
        <w:tc>
          <w:tcPr>
            <w:tcW w:w="1170" w:type="dxa"/>
            <w:tcBorders>
              <w:top w:val="single" w:sz="4" w:space="0" w:color="auto"/>
              <w:bottom w:val="single" w:sz="4" w:space="0" w:color="auto"/>
            </w:tcBorders>
            <w:vAlign w:val="center"/>
          </w:tcPr>
          <w:p w14:paraId="760D0D27" w14:textId="77777777" w:rsidR="003E2596" w:rsidRPr="00E72307" w:rsidRDefault="003E2596" w:rsidP="00D011D2">
            <w:pPr>
              <w:keepNext/>
              <w:keepLines/>
              <w:tabs>
                <w:tab w:val="left" w:pos="6024"/>
                <w:tab w:val="left" w:pos="7159"/>
              </w:tabs>
              <w:autoSpaceDE w:val="0"/>
              <w:autoSpaceDN w:val="0"/>
              <w:adjustRightInd w:val="0"/>
              <w:jc w:val="center"/>
              <w:rPr>
                <w:rFonts w:cs="Arial"/>
                <w:b/>
                <w:sz w:val="20"/>
                <w:szCs w:val="20"/>
              </w:rPr>
            </w:pPr>
          </w:p>
        </w:tc>
      </w:tr>
      <w:tr w:rsidR="003E2596" w:rsidRPr="00E72307" w14:paraId="22939AE6" w14:textId="77777777" w:rsidTr="0090536B">
        <w:trPr>
          <w:trHeight w:val="463"/>
        </w:trPr>
        <w:tc>
          <w:tcPr>
            <w:tcW w:w="8568" w:type="dxa"/>
            <w:vAlign w:val="center"/>
          </w:tcPr>
          <w:p w14:paraId="411E2F3B" w14:textId="7316F643" w:rsidR="003E2596" w:rsidRPr="00FE5858" w:rsidRDefault="00FE5858" w:rsidP="00FE5858">
            <w:pPr>
              <w:keepNext/>
              <w:keepLines/>
              <w:tabs>
                <w:tab w:val="left" w:pos="6024"/>
                <w:tab w:val="left" w:pos="7159"/>
              </w:tabs>
              <w:autoSpaceDE w:val="0"/>
              <w:autoSpaceDN w:val="0"/>
              <w:adjustRightInd w:val="0"/>
              <w:rPr>
                <w:rFonts w:cs="Arial"/>
                <w:i/>
                <w:sz w:val="20"/>
                <w:szCs w:val="20"/>
              </w:rPr>
            </w:pPr>
            <w:r>
              <w:rPr>
                <w:rFonts w:cs="Arial"/>
                <w:sz w:val="20"/>
                <w:szCs w:val="20"/>
              </w:rPr>
              <w:t>3</w:t>
            </w:r>
            <w:r w:rsidR="003E2596" w:rsidRPr="00FE5858">
              <w:rPr>
                <w:rFonts w:cs="Arial"/>
                <w:sz w:val="20"/>
                <w:szCs w:val="20"/>
              </w:rPr>
              <w:t xml:space="preserve">. </w:t>
            </w:r>
            <w:r w:rsidR="00FC4FC7">
              <w:rPr>
                <w:rFonts w:cs="Arial"/>
                <w:sz w:val="20"/>
                <w:szCs w:val="20"/>
              </w:rPr>
              <w:t>N</w:t>
            </w:r>
            <w:r w:rsidR="003E2596" w:rsidRPr="00FE5858">
              <w:rPr>
                <w:rFonts w:cs="Arial"/>
                <w:sz w:val="20"/>
                <w:szCs w:val="20"/>
              </w:rPr>
              <w:t xml:space="preserve">umber of business training session participants </w:t>
            </w:r>
          </w:p>
        </w:tc>
        <w:tc>
          <w:tcPr>
            <w:tcW w:w="1170" w:type="dxa"/>
            <w:tcBorders>
              <w:top w:val="single" w:sz="4" w:space="0" w:color="auto"/>
              <w:bottom w:val="single" w:sz="4" w:space="0" w:color="auto"/>
            </w:tcBorders>
            <w:vAlign w:val="center"/>
          </w:tcPr>
          <w:p w14:paraId="3E06B67C" w14:textId="51C02677" w:rsidR="003E2596" w:rsidRPr="00E72307" w:rsidRDefault="006404B9"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4</w:t>
            </w:r>
          </w:p>
        </w:tc>
      </w:tr>
      <w:tr w:rsidR="003E2596" w:rsidRPr="00E72307" w14:paraId="74F7E9F3" w14:textId="77777777" w:rsidTr="0090536B">
        <w:trPr>
          <w:trHeight w:val="463"/>
        </w:trPr>
        <w:tc>
          <w:tcPr>
            <w:tcW w:w="8568" w:type="dxa"/>
            <w:vAlign w:val="center"/>
          </w:tcPr>
          <w:p w14:paraId="13AA39F5" w14:textId="364D510B" w:rsidR="003E2596" w:rsidRPr="00FE5858" w:rsidRDefault="00FE5858" w:rsidP="00FE5858">
            <w:pPr>
              <w:keepNext/>
              <w:keepLines/>
              <w:tabs>
                <w:tab w:val="left" w:pos="6024"/>
                <w:tab w:val="left" w:pos="7159"/>
              </w:tabs>
              <w:autoSpaceDE w:val="0"/>
              <w:autoSpaceDN w:val="0"/>
              <w:adjustRightInd w:val="0"/>
              <w:rPr>
                <w:rFonts w:cs="Arial"/>
                <w:i/>
                <w:sz w:val="20"/>
                <w:szCs w:val="20"/>
              </w:rPr>
            </w:pPr>
            <w:r>
              <w:rPr>
                <w:rFonts w:cs="Arial"/>
                <w:sz w:val="20"/>
                <w:szCs w:val="20"/>
              </w:rPr>
              <w:t>4</w:t>
            </w:r>
            <w:r w:rsidR="003E2596" w:rsidRPr="00FE5858">
              <w:rPr>
                <w:rFonts w:cs="Arial"/>
                <w:sz w:val="20"/>
                <w:szCs w:val="20"/>
              </w:rPr>
              <w:t xml:space="preserve">. </w:t>
            </w:r>
            <w:r w:rsidR="00FC4FC7">
              <w:rPr>
                <w:rFonts w:cs="Arial"/>
                <w:sz w:val="20"/>
                <w:szCs w:val="20"/>
              </w:rPr>
              <w:t>N</w:t>
            </w:r>
            <w:r w:rsidR="003E2596" w:rsidRPr="00FE5858">
              <w:rPr>
                <w:rFonts w:cs="Arial"/>
                <w:sz w:val="20"/>
                <w:szCs w:val="20"/>
              </w:rPr>
              <w:t xml:space="preserve">umber of business advisory services </w:t>
            </w:r>
          </w:p>
        </w:tc>
        <w:tc>
          <w:tcPr>
            <w:tcW w:w="1170" w:type="dxa"/>
            <w:tcBorders>
              <w:top w:val="single" w:sz="4" w:space="0" w:color="auto"/>
              <w:bottom w:val="single" w:sz="4" w:space="0" w:color="auto"/>
            </w:tcBorders>
            <w:vAlign w:val="center"/>
          </w:tcPr>
          <w:p w14:paraId="047E1BAA" w14:textId="25332E4D" w:rsidR="003E2596" w:rsidRPr="00E72307" w:rsidRDefault="00BE1FA1"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381</w:t>
            </w:r>
          </w:p>
        </w:tc>
      </w:tr>
      <w:tr w:rsidR="003E2596" w:rsidRPr="00E72307" w14:paraId="6CD15709" w14:textId="77777777" w:rsidTr="0090536B">
        <w:trPr>
          <w:trHeight w:val="463"/>
        </w:trPr>
        <w:tc>
          <w:tcPr>
            <w:tcW w:w="8568" w:type="dxa"/>
            <w:vAlign w:val="center"/>
          </w:tcPr>
          <w:p w14:paraId="65D6FB06" w14:textId="77777777" w:rsidR="003E2596" w:rsidRPr="00E351D5" w:rsidRDefault="003E2596" w:rsidP="0056519D">
            <w:pPr>
              <w:keepNext/>
              <w:keepLines/>
              <w:tabs>
                <w:tab w:val="left" w:pos="6024"/>
                <w:tab w:val="left" w:pos="7159"/>
              </w:tabs>
              <w:autoSpaceDE w:val="0"/>
              <w:autoSpaceDN w:val="0"/>
              <w:adjustRightInd w:val="0"/>
              <w:ind w:left="270"/>
              <w:jc w:val="center"/>
              <w:rPr>
                <w:rFonts w:cs="Arial"/>
                <w:i/>
                <w:sz w:val="20"/>
                <w:szCs w:val="20"/>
              </w:rPr>
            </w:pPr>
            <w:r w:rsidRPr="00E72307">
              <w:rPr>
                <w:rFonts w:cs="Arial"/>
                <w:b/>
                <w:i/>
                <w:sz w:val="20"/>
                <w:szCs w:val="20"/>
              </w:rPr>
              <w:t>Rural access to capital and leveraged capital</w:t>
            </w:r>
          </w:p>
        </w:tc>
        <w:tc>
          <w:tcPr>
            <w:tcW w:w="1170" w:type="dxa"/>
            <w:tcBorders>
              <w:top w:val="single" w:sz="4" w:space="0" w:color="auto"/>
              <w:bottom w:val="single" w:sz="4" w:space="0" w:color="000000"/>
            </w:tcBorders>
            <w:vAlign w:val="center"/>
          </w:tcPr>
          <w:p w14:paraId="0368F6D1" w14:textId="77777777" w:rsidR="003E2596" w:rsidRPr="00E72307" w:rsidRDefault="003E2596" w:rsidP="000032F8">
            <w:pPr>
              <w:keepNext/>
              <w:keepLines/>
              <w:tabs>
                <w:tab w:val="left" w:pos="6024"/>
                <w:tab w:val="left" w:pos="7159"/>
              </w:tabs>
              <w:autoSpaceDE w:val="0"/>
              <w:autoSpaceDN w:val="0"/>
              <w:adjustRightInd w:val="0"/>
              <w:jc w:val="center"/>
              <w:rPr>
                <w:rFonts w:cs="Arial"/>
                <w:b/>
                <w:sz w:val="20"/>
                <w:szCs w:val="20"/>
              </w:rPr>
            </w:pPr>
          </w:p>
        </w:tc>
      </w:tr>
      <w:tr w:rsidR="00BE6567" w:rsidRPr="00E72307" w14:paraId="2DA4D307" w14:textId="77777777" w:rsidTr="0090536B">
        <w:trPr>
          <w:trHeight w:val="355"/>
        </w:trPr>
        <w:tc>
          <w:tcPr>
            <w:tcW w:w="8568" w:type="dxa"/>
            <w:vAlign w:val="center"/>
          </w:tcPr>
          <w:p w14:paraId="3604ED6E" w14:textId="7BC497DE" w:rsidR="00BE6567" w:rsidRDefault="00FE5858" w:rsidP="00FE5858">
            <w:pPr>
              <w:keepNext/>
              <w:keepLines/>
              <w:tabs>
                <w:tab w:val="left" w:pos="6024"/>
                <w:tab w:val="left" w:pos="7159"/>
              </w:tabs>
              <w:autoSpaceDE w:val="0"/>
              <w:autoSpaceDN w:val="0"/>
              <w:adjustRightInd w:val="0"/>
              <w:rPr>
                <w:rFonts w:cs="Arial"/>
                <w:sz w:val="20"/>
                <w:szCs w:val="20"/>
              </w:rPr>
            </w:pPr>
            <w:r>
              <w:rPr>
                <w:rFonts w:cs="Arial"/>
                <w:sz w:val="20"/>
                <w:szCs w:val="20"/>
              </w:rPr>
              <w:t>5</w:t>
            </w:r>
            <w:r w:rsidR="00BE6567">
              <w:rPr>
                <w:rFonts w:cs="Arial"/>
                <w:sz w:val="20"/>
                <w:szCs w:val="20"/>
              </w:rPr>
              <w:t xml:space="preserve">.  </w:t>
            </w:r>
            <w:r w:rsidR="00FC4FC7">
              <w:rPr>
                <w:rFonts w:cs="Arial"/>
                <w:sz w:val="20"/>
                <w:szCs w:val="20"/>
              </w:rPr>
              <w:t>V</w:t>
            </w:r>
            <w:r w:rsidR="00BE6567">
              <w:rPr>
                <w:rFonts w:cs="Arial"/>
                <w:sz w:val="20"/>
                <w:szCs w:val="20"/>
              </w:rPr>
              <w:t>alue of loans</w:t>
            </w:r>
          </w:p>
        </w:tc>
        <w:tc>
          <w:tcPr>
            <w:tcW w:w="1170" w:type="dxa"/>
            <w:vAlign w:val="center"/>
          </w:tcPr>
          <w:p w14:paraId="761563DC" w14:textId="5682FBA3" w:rsidR="00BE6567" w:rsidRPr="00E72307" w:rsidRDefault="00FC4FC7" w:rsidP="00A97695">
            <w:pPr>
              <w:keepNext/>
              <w:keepLines/>
              <w:tabs>
                <w:tab w:val="left" w:pos="6024"/>
                <w:tab w:val="left" w:pos="7159"/>
              </w:tabs>
              <w:autoSpaceDE w:val="0"/>
              <w:autoSpaceDN w:val="0"/>
              <w:adjustRightInd w:val="0"/>
              <w:spacing w:after="0"/>
              <w:ind w:right="-119"/>
              <w:rPr>
                <w:rFonts w:cs="Arial"/>
                <w:b/>
                <w:sz w:val="20"/>
                <w:szCs w:val="20"/>
              </w:rPr>
            </w:pPr>
            <w:r>
              <w:rPr>
                <w:rFonts w:cs="Arial"/>
                <w:b/>
                <w:sz w:val="20"/>
                <w:szCs w:val="20"/>
              </w:rPr>
              <w:t>$</w:t>
            </w:r>
            <w:r w:rsidR="0096161E" w:rsidRPr="0096161E">
              <w:rPr>
                <w:rFonts w:cs="Arial"/>
                <w:b/>
                <w:sz w:val="20"/>
                <w:szCs w:val="20"/>
              </w:rPr>
              <w:t>446,581</w:t>
            </w:r>
            <w:r w:rsidR="0096161E">
              <w:rPr>
                <w:rFonts w:cs="Arial"/>
                <w:b/>
                <w:sz w:val="20"/>
                <w:szCs w:val="20"/>
              </w:rPr>
              <w:t>.00</w:t>
            </w:r>
          </w:p>
        </w:tc>
      </w:tr>
      <w:tr w:rsidR="004E0068" w:rsidRPr="00E72307" w14:paraId="57CD6B30" w14:textId="77777777" w:rsidTr="0090536B">
        <w:trPr>
          <w:trHeight w:val="355"/>
        </w:trPr>
        <w:tc>
          <w:tcPr>
            <w:tcW w:w="8568" w:type="dxa"/>
            <w:vAlign w:val="center"/>
          </w:tcPr>
          <w:p w14:paraId="274080CC" w14:textId="482D1D60" w:rsidR="004E0068" w:rsidRDefault="00FE5858" w:rsidP="00FE5858">
            <w:pPr>
              <w:keepNext/>
              <w:keepLines/>
              <w:tabs>
                <w:tab w:val="left" w:pos="6024"/>
                <w:tab w:val="left" w:pos="7159"/>
              </w:tabs>
              <w:autoSpaceDE w:val="0"/>
              <w:autoSpaceDN w:val="0"/>
              <w:adjustRightInd w:val="0"/>
              <w:rPr>
                <w:rFonts w:cs="Arial"/>
                <w:sz w:val="20"/>
                <w:szCs w:val="20"/>
              </w:rPr>
            </w:pPr>
            <w:r>
              <w:rPr>
                <w:rFonts w:cs="Arial"/>
                <w:sz w:val="20"/>
                <w:szCs w:val="20"/>
              </w:rPr>
              <w:t>6</w:t>
            </w:r>
            <w:r w:rsidR="004E0068">
              <w:rPr>
                <w:rFonts w:cs="Arial"/>
                <w:sz w:val="20"/>
                <w:szCs w:val="20"/>
              </w:rPr>
              <w:t xml:space="preserve">. </w:t>
            </w:r>
            <w:r w:rsidR="00FC4FC7">
              <w:rPr>
                <w:rFonts w:cs="Arial"/>
                <w:sz w:val="20"/>
                <w:szCs w:val="20"/>
              </w:rPr>
              <w:t>N</w:t>
            </w:r>
            <w:r w:rsidR="004E0068">
              <w:rPr>
                <w:rFonts w:cs="Arial"/>
                <w:sz w:val="20"/>
                <w:szCs w:val="20"/>
              </w:rPr>
              <w:t>umber</w:t>
            </w:r>
            <w:r w:rsidR="004E0068" w:rsidRPr="00E72307">
              <w:rPr>
                <w:rFonts w:cs="Arial"/>
                <w:sz w:val="20"/>
                <w:szCs w:val="20"/>
              </w:rPr>
              <w:t xml:space="preserve"> of loans  </w:t>
            </w:r>
          </w:p>
        </w:tc>
        <w:tc>
          <w:tcPr>
            <w:tcW w:w="1170" w:type="dxa"/>
            <w:vAlign w:val="center"/>
          </w:tcPr>
          <w:p w14:paraId="7099CFFF" w14:textId="79FC6E1C" w:rsidR="004E0068" w:rsidRPr="00E72307" w:rsidRDefault="0096161E"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5</w:t>
            </w:r>
          </w:p>
        </w:tc>
      </w:tr>
      <w:tr w:rsidR="003E2596" w:rsidRPr="00E72307" w14:paraId="01B95258" w14:textId="77777777" w:rsidTr="0090536B">
        <w:trPr>
          <w:trHeight w:val="355"/>
        </w:trPr>
        <w:tc>
          <w:tcPr>
            <w:tcW w:w="8568" w:type="dxa"/>
            <w:vAlign w:val="center"/>
          </w:tcPr>
          <w:p w14:paraId="7E95EC85" w14:textId="77777777" w:rsidR="003E2596" w:rsidRDefault="00FE5858" w:rsidP="00FE5858">
            <w:pPr>
              <w:keepNext/>
              <w:keepLines/>
              <w:tabs>
                <w:tab w:val="left" w:pos="6024"/>
                <w:tab w:val="left" w:pos="7159"/>
              </w:tabs>
              <w:autoSpaceDE w:val="0"/>
              <w:autoSpaceDN w:val="0"/>
              <w:adjustRightInd w:val="0"/>
              <w:jc w:val="both"/>
              <w:rPr>
                <w:rFonts w:cs="Arial"/>
                <w:sz w:val="20"/>
                <w:szCs w:val="20"/>
              </w:rPr>
            </w:pPr>
            <w:r>
              <w:rPr>
                <w:rFonts w:cs="Arial"/>
                <w:sz w:val="20"/>
                <w:szCs w:val="20"/>
              </w:rPr>
              <w:t>7</w:t>
            </w:r>
            <w:r w:rsidR="004E0068">
              <w:rPr>
                <w:rFonts w:cs="Arial"/>
                <w:sz w:val="20"/>
                <w:szCs w:val="20"/>
              </w:rPr>
              <w:t>. Number</w:t>
            </w:r>
            <w:r w:rsidR="004E0068" w:rsidRPr="00E72307">
              <w:rPr>
                <w:rFonts w:cs="Arial"/>
                <w:sz w:val="20"/>
                <w:szCs w:val="20"/>
              </w:rPr>
              <w:t xml:space="preserve"> of </w:t>
            </w:r>
            <w:r w:rsidR="004E0068">
              <w:rPr>
                <w:rFonts w:cs="Arial"/>
                <w:sz w:val="20"/>
                <w:szCs w:val="20"/>
              </w:rPr>
              <w:t>jobs created/maintained/expanded</w:t>
            </w:r>
            <w:r w:rsidR="00716BF1">
              <w:rPr>
                <w:rFonts w:cs="Arial"/>
                <w:sz w:val="20"/>
                <w:szCs w:val="20"/>
              </w:rPr>
              <w:t xml:space="preserve"> </w:t>
            </w:r>
            <w:r w:rsidR="004E0068">
              <w:rPr>
                <w:rFonts w:cs="Arial"/>
                <w:sz w:val="20"/>
                <w:szCs w:val="20"/>
              </w:rPr>
              <w:t>through lending</w:t>
            </w:r>
            <w:r w:rsidR="004E0068">
              <w:rPr>
                <w:rStyle w:val="FootnoteReference"/>
                <w:rFonts w:cs="Arial"/>
                <w:sz w:val="20"/>
                <w:szCs w:val="20"/>
              </w:rPr>
              <w:footnoteReference w:id="1"/>
            </w:r>
          </w:p>
        </w:tc>
        <w:tc>
          <w:tcPr>
            <w:tcW w:w="1170" w:type="dxa"/>
            <w:vAlign w:val="center"/>
          </w:tcPr>
          <w:p w14:paraId="589FB395" w14:textId="317FBB75" w:rsidR="003E2596" w:rsidRPr="00E72307" w:rsidRDefault="0096161E" w:rsidP="000032F8">
            <w:pPr>
              <w:keepNext/>
              <w:keepLines/>
              <w:tabs>
                <w:tab w:val="left" w:pos="6024"/>
                <w:tab w:val="left" w:pos="7159"/>
              </w:tabs>
              <w:autoSpaceDE w:val="0"/>
              <w:autoSpaceDN w:val="0"/>
              <w:adjustRightInd w:val="0"/>
              <w:jc w:val="center"/>
              <w:rPr>
                <w:rFonts w:cs="Arial"/>
                <w:b/>
                <w:sz w:val="20"/>
                <w:szCs w:val="20"/>
              </w:rPr>
            </w:pPr>
            <w:r>
              <w:rPr>
                <w:rFonts w:cs="Arial"/>
                <w:b/>
                <w:sz w:val="20"/>
                <w:szCs w:val="20"/>
              </w:rPr>
              <w:t>15</w:t>
            </w:r>
          </w:p>
        </w:tc>
      </w:tr>
      <w:tr w:rsidR="003E2596" w:rsidRPr="00E72307" w14:paraId="253460BD" w14:textId="77777777" w:rsidTr="000032F8">
        <w:trPr>
          <w:trHeight w:val="562"/>
        </w:trPr>
        <w:tc>
          <w:tcPr>
            <w:tcW w:w="9738" w:type="dxa"/>
            <w:gridSpan w:val="2"/>
            <w:vAlign w:val="center"/>
          </w:tcPr>
          <w:p w14:paraId="3D98AD12" w14:textId="77777777" w:rsidR="003E2596" w:rsidRPr="00E72307" w:rsidRDefault="003E2596" w:rsidP="000032F8">
            <w:pPr>
              <w:keepNext/>
              <w:keepLines/>
              <w:tabs>
                <w:tab w:val="left" w:pos="6024"/>
                <w:tab w:val="left" w:pos="7159"/>
              </w:tabs>
              <w:autoSpaceDE w:val="0"/>
              <w:autoSpaceDN w:val="0"/>
              <w:adjustRightInd w:val="0"/>
              <w:rPr>
                <w:rFonts w:cs="Arial"/>
                <w:b/>
                <w:sz w:val="20"/>
                <w:szCs w:val="20"/>
              </w:rPr>
            </w:pPr>
          </w:p>
        </w:tc>
      </w:tr>
    </w:tbl>
    <w:tbl>
      <w:tblPr>
        <w:tblStyle w:val="TableGrid"/>
        <w:tblW w:w="9738" w:type="dxa"/>
        <w:tblLook w:val="04A0" w:firstRow="1" w:lastRow="0" w:firstColumn="1" w:lastColumn="0" w:noHBand="0" w:noVBand="1"/>
      </w:tblPr>
      <w:tblGrid>
        <w:gridCol w:w="9738"/>
      </w:tblGrid>
      <w:tr w:rsidR="00F609C9" w14:paraId="1194961D" w14:textId="77777777" w:rsidTr="000032F8">
        <w:tc>
          <w:tcPr>
            <w:tcW w:w="9738" w:type="dxa"/>
          </w:tcPr>
          <w:p w14:paraId="656FEAEE" w14:textId="65C9505B" w:rsidR="000032F8" w:rsidRPr="00B86B60" w:rsidRDefault="00B86B60" w:rsidP="000032F8">
            <w:pPr>
              <w:rPr>
                <w:rFonts w:cs="Arial"/>
                <w:sz w:val="20"/>
                <w:szCs w:val="20"/>
              </w:rPr>
            </w:pPr>
            <w:r w:rsidRPr="00B86B60">
              <w:rPr>
                <w:rFonts w:cs="Arial"/>
                <w:sz w:val="20"/>
                <w:szCs w:val="20"/>
              </w:rPr>
              <w:t>Provide a</w:t>
            </w:r>
            <w:r w:rsidR="008B0CCB" w:rsidRPr="00B86B60">
              <w:rPr>
                <w:rFonts w:cs="Arial"/>
                <w:sz w:val="20"/>
                <w:szCs w:val="20"/>
              </w:rPr>
              <w:t>dditional Information</w:t>
            </w:r>
            <w:r w:rsidRPr="00B86B60">
              <w:rPr>
                <w:rFonts w:cs="Arial"/>
                <w:sz w:val="20"/>
                <w:szCs w:val="20"/>
              </w:rPr>
              <w:t xml:space="preserve"> (e.g. </w:t>
            </w:r>
            <w:r w:rsidR="00FC4FC7">
              <w:rPr>
                <w:rFonts w:cs="Arial"/>
                <w:sz w:val="20"/>
                <w:szCs w:val="20"/>
              </w:rPr>
              <w:t>s</w:t>
            </w:r>
            <w:r w:rsidR="00FC4FC7" w:rsidRPr="00B86B60">
              <w:rPr>
                <w:rFonts w:cs="Arial"/>
                <w:sz w:val="20"/>
                <w:szCs w:val="20"/>
              </w:rPr>
              <w:t xml:space="preserve">uccess </w:t>
            </w:r>
            <w:r w:rsidRPr="00B86B60">
              <w:rPr>
                <w:rFonts w:cs="Arial"/>
                <w:sz w:val="20"/>
                <w:szCs w:val="20"/>
              </w:rPr>
              <w:t xml:space="preserve">stories, </w:t>
            </w:r>
            <w:r w:rsidR="00FC4FC7">
              <w:rPr>
                <w:rFonts w:cs="Arial"/>
                <w:sz w:val="20"/>
                <w:szCs w:val="20"/>
              </w:rPr>
              <w:t xml:space="preserve">links </w:t>
            </w:r>
            <w:r w:rsidR="00E514E4">
              <w:rPr>
                <w:rFonts w:cs="Arial"/>
                <w:sz w:val="20"/>
                <w:szCs w:val="20"/>
              </w:rPr>
              <w:t xml:space="preserve">to priorities, </w:t>
            </w:r>
            <w:r w:rsidRPr="00B86B60">
              <w:rPr>
                <w:rFonts w:cs="Arial"/>
                <w:sz w:val="20"/>
                <w:szCs w:val="20"/>
              </w:rPr>
              <w:t>leveraging work, communication events, etc</w:t>
            </w:r>
            <w:r w:rsidR="00F7423D">
              <w:rPr>
                <w:rFonts w:cs="Arial"/>
                <w:sz w:val="20"/>
                <w:szCs w:val="20"/>
              </w:rPr>
              <w:t>.</w:t>
            </w:r>
            <w:r w:rsidRPr="00B86B60">
              <w:rPr>
                <w:rFonts w:cs="Arial"/>
                <w:sz w:val="20"/>
                <w:szCs w:val="20"/>
              </w:rPr>
              <w:t>)</w:t>
            </w:r>
            <w:r w:rsidR="000032F8">
              <w:rPr>
                <w:rFonts w:cs="Arial"/>
                <w:sz w:val="20"/>
                <w:szCs w:val="20"/>
              </w:rPr>
              <w:t xml:space="preserve"> </w:t>
            </w:r>
            <w:r w:rsidR="000032F8">
              <w:rPr>
                <w:rFonts w:cs="Arial"/>
                <w:sz w:val="20"/>
                <w:szCs w:val="20"/>
              </w:rPr>
              <w:br/>
            </w:r>
          </w:p>
        </w:tc>
      </w:tr>
      <w:tr w:rsidR="00F609C9" w14:paraId="79FC7B7E" w14:textId="77777777" w:rsidTr="000032F8">
        <w:tc>
          <w:tcPr>
            <w:tcW w:w="9738" w:type="dxa"/>
          </w:tcPr>
          <w:p w14:paraId="76F8118C" w14:textId="3A81D011" w:rsidR="005E7325" w:rsidRPr="00D3443B" w:rsidRDefault="005E7325" w:rsidP="005E7325">
            <w:pPr>
              <w:tabs>
                <w:tab w:val="left" w:pos="5891"/>
              </w:tabs>
              <w:spacing w:before="240"/>
              <w:rPr>
                <w:rFonts w:cs="Arial"/>
                <w:b/>
                <w:bCs/>
                <w:sz w:val="20"/>
                <w:szCs w:val="20"/>
              </w:rPr>
            </w:pPr>
            <w:proofErr w:type="spellStart"/>
            <w:r w:rsidRPr="00D3443B">
              <w:rPr>
                <w:rFonts w:cs="Arial"/>
                <w:b/>
                <w:bCs/>
                <w:sz w:val="20"/>
                <w:szCs w:val="20"/>
              </w:rPr>
              <w:t>Rednexx</w:t>
            </w:r>
            <w:proofErr w:type="spellEnd"/>
            <w:r w:rsidRPr="00D3443B">
              <w:rPr>
                <w:rFonts w:cs="Arial"/>
                <w:b/>
                <w:bCs/>
                <w:sz w:val="20"/>
                <w:szCs w:val="20"/>
              </w:rPr>
              <w:t xml:space="preserve"> Recycling Inc.</w:t>
            </w:r>
          </w:p>
          <w:p w14:paraId="6855B9FE" w14:textId="29A2702A" w:rsidR="005E7325" w:rsidRDefault="005E7325" w:rsidP="005E7325">
            <w:pPr>
              <w:tabs>
                <w:tab w:val="left" w:pos="5891"/>
              </w:tabs>
              <w:spacing w:before="240"/>
              <w:rPr>
                <w:rFonts w:cs="Arial"/>
                <w:sz w:val="20"/>
                <w:szCs w:val="20"/>
              </w:rPr>
            </w:pPr>
            <w:proofErr w:type="spellStart"/>
            <w:r w:rsidRPr="005E7325">
              <w:rPr>
                <w:rFonts w:cs="Arial"/>
                <w:sz w:val="20"/>
                <w:szCs w:val="20"/>
              </w:rPr>
              <w:t>Rednexx</w:t>
            </w:r>
            <w:proofErr w:type="spellEnd"/>
            <w:r w:rsidRPr="005E7325">
              <w:rPr>
                <w:rFonts w:cs="Arial"/>
                <w:sz w:val="20"/>
                <w:szCs w:val="20"/>
              </w:rPr>
              <w:t xml:space="preserve"> Recycling Inc. is a locally owned recycling depot in Houston, B.C., established to restore essential recycling services after the community’s only depot had closed. CF Nadina provided hands-on business advisory support, including developing a comprehensive business plan, detailed financial forecasts, and guiding the owners through the </w:t>
            </w:r>
            <w:proofErr w:type="spellStart"/>
            <w:r w:rsidRPr="005E7325">
              <w:rPr>
                <w:rFonts w:cs="Arial"/>
                <w:sz w:val="20"/>
                <w:szCs w:val="20"/>
              </w:rPr>
              <w:t>Encorp</w:t>
            </w:r>
            <w:proofErr w:type="spellEnd"/>
            <w:r w:rsidRPr="005E7325">
              <w:rPr>
                <w:rFonts w:cs="Arial"/>
                <w:sz w:val="20"/>
                <w:szCs w:val="20"/>
              </w:rPr>
              <w:t xml:space="preserve"> application process. We also supported the client in preparing for lender discussions, which contributed to successfully securing financing through their financial institution. Our role was instrumental in helping transition the project from concept to an operational business. This initiative aligns with PacifiCan priorities by supporting rural economic development, environmental sustainability, and improved access to services in an underserved community. As a result, the depot has reopened as the primary recycling facility serving over 3,500 residents in the region, significantly reducing the need for long-distance travel. The business currently supports two full-time family-run jobs, with potential for future employment as operations expand. The owners have invested approximately $20,000 in facility upgrades, including improvements to sorting areas, accessibility, lighting, and overall site conditions, creating a safer and more efficient customer experience. Overall, this project demonstrates how targeted </w:t>
            </w:r>
            <w:r w:rsidRPr="005E7325">
              <w:rPr>
                <w:rFonts w:cs="Arial"/>
                <w:sz w:val="20"/>
                <w:szCs w:val="20"/>
              </w:rPr>
              <w:lastRenderedPageBreak/>
              <w:t xml:space="preserve">advisory support can unlock financing, re-establish critical infrastructure, and generate lasting economic and environmental benefits for a rural community. </w:t>
            </w:r>
          </w:p>
          <w:p w14:paraId="724D5953" w14:textId="77777777" w:rsidR="00071175" w:rsidRPr="005E7325" w:rsidRDefault="00071175" w:rsidP="005E7325">
            <w:pPr>
              <w:tabs>
                <w:tab w:val="left" w:pos="5891"/>
              </w:tabs>
              <w:spacing w:before="240"/>
              <w:rPr>
                <w:rFonts w:cs="Arial"/>
                <w:sz w:val="20"/>
                <w:szCs w:val="20"/>
              </w:rPr>
            </w:pPr>
          </w:p>
          <w:p w14:paraId="08DAB9B0" w14:textId="5AEACB24" w:rsidR="005E7325" w:rsidRPr="00BB7B74" w:rsidRDefault="005E7325" w:rsidP="005E7325">
            <w:pPr>
              <w:tabs>
                <w:tab w:val="left" w:pos="5891"/>
              </w:tabs>
              <w:spacing w:before="240"/>
              <w:rPr>
                <w:rFonts w:cs="Arial"/>
                <w:b/>
                <w:bCs/>
                <w:sz w:val="20"/>
                <w:szCs w:val="20"/>
              </w:rPr>
            </w:pPr>
            <w:r w:rsidRPr="00071175">
              <w:rPr>
                <w:rFonts w:cs="Arial"/>
                <w:b/>
                <w:bCs/>
                <w:sz w:val="20"/>
                <w:szCs w:val="20"/>
              </w:rPr>
              <w:t>Atna River Contracting</w:t>
            </w:r>
          </w:p>
          <w:p w14:paraId="4A1256B9" w14:textId="511C810F" w:rsidR="005E7325" w:rsidRPr="005E7325" w:rsidRDefault="005E7325" w:rsidP="005E7325">
            <w:pPr>
              <w:tabs>
                <w:tab w:val="left" w:pos="5891"/>
              </w:tabs>
              <w:spacing w:before="240"/>
              <w:rPr>
                <w:rFonts w:cs="Arial"/>
                <w:sz w:val="20"/>
                <w:szCs w:val="20"/>
              </w:rPr>
            </w:pPr>
            <w:r w:rsidRPr="005E7325">
              <w:rPr>
                <w:rFonts w:cs="Arial"/>
                <w:sz w:val="20"/>
                <w:szCs w:val="20"/>
              </w:rPr>
              <w:t xml:space="preserve">Atna River Contracting is a locally owned and operated business providing equipment operation, landscaping, towing, and related services within the community. The owner, </w:t>
            </w:r>
            <w:r w:rsidR="00B521B6">
              <w:rPr>
                <w:rFonts w:cs="Arial"/>
                <w:sz w:val="20"/>
                <w:szCs w:val="20"/>
              </w:rPr>
              <w:t>Freddy Brown</w:t>
            </w:r>
            <w:r w:rsidRPr="005E7325">
              <w:rPr>
                <w:rFonts w:cs="Arial"/>
                <w:sz w:val="20"/>
                <w:szCs w:val="20"/>
              </w:rPr>
              <w:t>, had already established the business and built a strong reputation when the sole proprietor of Red Rocket expressed interest in retiring. Recognizing a strategic opportunity, Freddy pursued the acquisition of Red Rocket’s assets to expand his existing operations, retain local services, and strengthen his market position.</w:t>
            </w:r>
          </w:p>
          <w:p w14:paraId="3C95E37B" w14:textId="77777777" w:rsidR="005E7325" w:rsidRPr="005E7325" w:rsidRDefault="005E7325" w:rsidP="005E7325">
            <w:pPr>
              <w:tabs>
                <w:tab w:val="left" w:pos="5891"/>
              </w:tabs>
              <w:spacing w:before="240"/>
              <w:rPr>
                <w:rFonts w:cs="Arial"/>
                <w:sz w:val="20"/>
                <w:szCs w:val="20"/>
              </w:rPr>
            </w:pPr>
            <w:r w:rsidRPr="005E7325">
              <w:rPr>
                <w:rFonts w:cs="Arial"/>
                <w:sz w:val="20"/>
                <w:szCs w:val="20"/>
              </w:rPr>
              <w:t>Our organization provided both business advisory services and financing to support the acquisition, including guidance on structuring the purchase, assessing financial viability, and developing cashflow projections to ensure sustainability. We worked closely with Freddy throughout the process, supporting due diligence and helping align the expansion with realistic operational and financial expectations. This initiative aligns with Government of Canada and PacifiCan priorities by supporting rural business growth, succession planning, and local ownership.</w:t>
            </w:r>
          </w:p>
          <w:p w14:paraId="2DFF981A" w14:textId="351DCE8C" w:rsidR="005E7325" w:rsidRDefault="005E7325" w:rsidP="005E7325">
            <w:pPr>
              <w:tabs>
                <w:tab w:val="left" w:pos="5891"/>
              </w:tabs>
              <w:spacing w:before="240"/>
              <w:rPr>
                <w:rFonts w:cs="Arial"/>
                <w:sz w:val="20"/>
                <w:szCs w:val="20"/>
              </w:rPr>
            </w:pPr>
            <w:r w:rsidRPr="005E7325">
              <w:rPr>
                <w:rFonts w:cs="Arial"/>
                <w:sz w:val="20"/>
                <w:szCs w:val="20"/>
              </w:rPr>
              <w:t>As a result, the transition preserved a long-standing local business while enabling Atna River Contracting to expand its service capacity and offerings. The project supported continued employment, including the creation of one full-time position in addition to Freddy, with potential for further job creation as the business grows. Freddy strengthened his business management and financial planning skills, improving long-term sustainability and resilience. Overall, the initiative contributed to economic stability in the community by maintaining essential services and supporting a successful business transition.</w:t>
            </w:r>
          </w:p>
          <w:p w14:paraId="63DF2144" w14:textId="77777777" w:rsidR="00BB7B74" w:rsidRPr="005E7325" w:rsidRDefault="00BB7B74" w:rsidP="005E7325">
            <w:pPr>
              <w:tabs>
                <w:tab w:val="left" w:pos="5891"/>
              </w:tabs>
              <w:spacing w:before="240"/>
              <w:rPr>
                <w:rFonts w:cs="Arial"/>
                <w:sz w:val="20"/>
                <w:szCs w:val="20"/>
              </w:rPr>
            </w:pPr>
          </w:p>
          <w:p w14:paraId="417AD86A" w14:textId="45AA0556" w:rsidR="005E7325" w:rsidRPr="00BB7B74" w:rsidRDefault="005E7325" w:rsidP="005E7325">
            <w:pPr>
              <w:tabs>
                <w:tab w:val="left" w:pos="5891"/>
              </w:tabs>
              <w:spacing w:before="240"/>
              <w:rPr>
                <w:rFonts w:cs="Arial"/>
                <w:b/>
                <w:bCs/>
                <w:sz w:val="20"/>
                <w:szCs w:val="20"/>
              </w:rPr>
            </w:pPr>
            <w:r w:rsidRPr="00BB7B74">
              <w:rPr>
                <w:rFonts w:cs="Arial"/>
                <w:b/>
                <w:bCs/>
                <w:sz w:val="20"/>
                <w:szCs w:val="20"/>
              </w:rPr>
              <w:t xml:space="preserve">Peaks and Valleys ADHD Coaching </w:t>
            </w:r>
          </w:p>
          <w:p w14:paraId="381BFB8D" w14:textId="4B13108C" w:rsidR="00F105C2" w:rsidRDefault="005E7325" w:rsidP="00472B5D">
            <w:pPr>
              <w:tabs>
                <w:tab w:val="left" w:pos="5891"/>
              </w:tabs>
              <w:spacing w:before="240"/>
              <w:rPr>
                <w:rFonts w:cs="Arial"/>
                <w:sz w:val="20"/>
                <w:szCs w:val="20"/>
              </w:rPr>
            </w:pPr>
            <w:r w:rsidRPr="005E7325">
              <w:rPr>
                <w:rFonts w:cs="Arial"/>
                <w:sz w:val="20"/>
                <w:szCs w:val="20"/>
              </w:rPr>
              <w:t>Peaks and Valleys ADHD Coaching is a Smithers-based business providing specialized coaching services to youth, adults, and families navigating ADHD, addressing a significant service gap in the Bulkley Valley. The business was founded by Tashi Newman, a certified ADHD coach whose personal experience and community connections helped identify a strong unmet need for accessible, local support. Through business advisory services and financing support, Community Futures Nadina assisted Tashi in formalizing her business plan, strengthening her operational approach, and accessing capital to establish a dedicated coaching space. This support enabled the business to transition from early-stage demand to a structured, revenue-generating service with a growing client base across the region and beyond. The initiative aligns with Government of Canada and PacifiCan priorities by supporting rural entrepreneurship, improving access to health-related services, and fostering inclusive economic participation, particularly for individuals and families affected by neurodevelopmental conditions. As a result, the business has created self-employment, generated projected annual revenues of approximately $90,000, and increased access to mental wellness supports in an underserved rural community. Longer term, the business is positioned for expansion into additional services, including workshops and counselling certifications, further strengthening regional capacity and service diversity.</w:t>
            </w:r>
            <w:r w:rsidR="004E0068">
              <w:rPr>
                <w:rFonts w:cs="Arial"/>
                <w:sz w:val="20"/>
                <w:szCs w:val="20"/>
              </w:rPr>
              <w:tab/>
            </w:r>
          </w:p>
          <w:p w14:paraId="248E165C" w14:textId="77777777" w:rsidR="00F609C9" w:rsidRDefault="00F609C9" w:rsidP="00164DFE">
            <w:pPr>
              <w:spacing w:before="240"/>
              <w:rPr>
                <w:rFonts w:cs="Arial"/>
                <w:sz w:val="20"/>
                <w:szCs w:val="20"/>
              </w:rPr>
            </w:pPr>
          </w:p>
        </w:tc>
      </w:tr>
    </w:tbl>
    <w:p w14:paraId="661A9A31" w14:textId="77777777" w:rsidR="00F105C2" w:rsidRDefault="00F105C2" w:rsidP="00476214">
      <w:pPr>
        <w:spacing w:before="240"/>
        <w:rPr>
          <w:rFonts w:cs="Arial"/>
          <w:b/>
          <w:i/>
          <w:sz w:val="24"/>
          <w:szCs w:val="20"/>
          <w:u w:val="single"/>
        </w:rPr>
      </w:pPr>
    </w:p>
    <w:sectPr w:rsidR="00F105C2" w:rsidSect="00A65AA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667E2" w14:textId="77777777" w:rsidR="003C7DFC" w:rsidRDefault="003C7DFC" w:rsidP="00CC123A">
      <w:pPr>
        <w:spacing w:after="0" w:line="240" w:lineRule="auto"/>
      </w:pPr>
      <w:r>
        <w:separator/>
      </w:r>
    </w:p>
  </w:endnote>
  <w:endnote w:type="continuationSeparator" w:id="0">
    <w:p w14:paraId="67906748" w14:textId="77777777" w:rsidR="003C7DFC" w:rsidRDefault="003C7DFC" w:rsidP="00CC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70BC6" w14:textId="77777777" w:rsidR="003C7DFC" w:rsidRDefault="003C7DFC" w:rsidP="00CC123A">
      <w:pPr>
        <w:spacing w:after="0" w:line="240" w:lineRule="auto"/>
      </w:pPr>
      <w:r>
        <w:separator/>
      </w:r>
    </w:p>
  </w:footnote>
  <w:footnote w:type="continuationSeparator" w:id="0">
    <w:p w14:paraId="3AC64C76" w14:textId="77777777" w:rsidR="003C7DFC" w:rsidRDefault="003C7DFC" w:rsidP="00CC123A">
      <w:pPr>
        <w:spacing w:after="0" w:line="240" w:lineRule="auto"/>
      </w:pPr>
      <w:r>
        <w:continuationSeparator/>
      </w:r>
    </w:p>
  </w:footnote>
  <w:footnote w:id="1">
    <w:p w14:paraId="65946181" w14:textId="77777777" w:rsidR="004E0068" w:rsidRPr="004E0068" w:rsidRDefault="004E0068">
      <w:pPr>
        <w:pStyle w:val="FootnoteText"/>
        <w:rPr>
          <w:lang w:val="en-US"/>
        </w:rPr>
      </w:pPr>
      <w:r>
        <w:rPr>
          <w:rStyle w:val="FootnoteReference"/>
        </w:rPr>
        <w:footnoteRef/>
      </w:r>
      <w:r>
        <w:t xml:space="preserve"> </w:t>
      </w:r>
      <w:r>
        <w:rPr>
          <w:lang w:val="en-US"/>
        </w:rPr>
        <w:t>Estimated at the time of lending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F72E" w14:textId="60BDE4B4" w:rsidR="00CC123A" w:rsidRDefault="00CC123A">
    <w:pPr>
      <w:pStyle w:val="Header"/>
    </w:pPr>
    <w:r>
      <w:t xml:space="preserve">Performance Results for </w:t>
    </w:r>
    <w:r w:rsidR="00F4504C">
      <w:t>202</w:t>
    </w:r>
    <w:r w:rsidR="00896157">
      <w:t>5</w:t>
    </w:r>
    <w:r w:rsidR="00F4504C">
      <w:t>-2</w:t>
    </w:r>
    <w:r w:rsidR="00896157">
      <w:t>6</w:t>
    </w:r>
    <w:r w:rsidR="00387C16">
      <w:t xml:space="preserve">   </w:t>
    </w:r>
    <w:r w:rsidR="00896157">
      <w:rPr>
        <w:u w:val="single"/>
      </w:rPr>
      <w:t>Community Futures Nadina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A89E" w14:textId="07EEF9B0" w:rsidR="00903BAE" w:rsidRDefault="00D25518" w:rsidP="00903BAE">
    <w:pPr>
      <w:keepNext/>
      <w:keepLines/>
      <w:tabs>
        <w:tab w:val="left" w:pos="6024"/>
        <w:tab w:val="left" w:pos="7159"/>
      </w:tabs>
      <w:autoSpaceDE w:val="0"/>
      <w:autoSpaceDN w:val="0"/>
      <w:adjustRightInd w:val="0"/>
      <w:jc w:val="center"/>
      <w:rPr>
        <w:rFonts w:cs="Arial"/>
        <w:b/>
        <w:sz w:val="20"/>
        <w:szCs w:val="20"/>
      </w:rPr>
    </w:pPr>
    <w:r w:rsidRPr="00D25518">
      <w:rPr>
        <w:u w:val="single"/>
      </w:rPr>
      <w:t>C</w:t>
    </w:r>
    <w:r w:rsidR="00896157">
      <w:rPr>
        <w:u w:val="single"/>
      </w:rPr>
      <w:t>ommunity Futures Nadina</w:t>
    </w:r>
    <w:r w:rsidR="00FC4FC7" w:rsidRPr="00D25518">
      <w:rPr>
        <w:u w:val="single"/>
      </w:rPr>
      <w:t xml:space="preserve"> </w:t>
    </w:r>
    <w:r w:rsidR="00FC4FC7">
      <w:br/>
    </w:r>
    <w:r w:rsidR="002F0A60">
      <w:t xml:space="preserve">Performance Results for </w:t>
    </w:r>
    <w:r w:rsidR="005B647E">
      <w:t>202</w:t>
    </w:r>
    <w:r w:rsidR="00E53E7D">
      <w:t>5</w:t>
    </w:r>
    <w:r w:rsidR="005B647E">
      <w:t>-2</w:t>
    </w:r>
    <w:r w:rsidR="00E53E7D">
      <w:t>6</w:t>
    </w:r>
    <w:r w:rsidR="00A9055B">
      <w:t xml:space="preserve">   </w:t>
    </w:r>
  </w:p>
  <w:p w14:paraId="3B696F3E" w14:textId="5C795A97" w:rsidR="00A9055B" w:rsidRPr="00DE095B" w:rsidRDefault="00855202" w:rsidP="00855202">
    <w:pPr>
      <w:spacing w:line="240" w:lineRule="auto"/>
      <w:rPr>
        <w:sz w:val="18"/>
        <w:u w:val="single"/>
        <w:lang w:val="en-GB"/>
      </w:rPr>
    </w:pPr>
    <w:r w:rsidRPr="00855202">
      <w:rPr>
        <w:sz w:val="20"/>
        <w:lang w:val="en-GB"/>
      </w:rPr>
      <w:t xml:space="preserve">Community Futures (CF) is a </w:t>
    </w:r>
    <w:r w:rsidR="005B647E">
      <w:rPr>
        <w:sz w:val="20"/>
        <w:lang w:val="en-GB"/>
      </w:rPr>
      <w:t xml:space="preserve">national </w:t>
    </w:r>
    <w:r w:rsidR="00DE095B" w:rsidRPr="00855202">
      <w:rPr>
        <w:sz w:val="20"/>
        <w:lang w:val="en-GB"/>
      </w:rPr>
      <w:t xml:space="preserve">program </w:t>
    </w:r>
    <w:r w:rsidR="00DE095B">
      <w:rPr>
        <w:sz w:val="20"/>
        <w:lang w:val="en-GB"/>
      </w:rPr>
      <w:t>that</w:t>
    </w:r>
    <w:r w:rsidR="005B647E">
      <w:rPr>
        <w:sz w:val="20"/>
        <w:lang w:val="en-GB"/>
      </w:rPr>
      <w:t xml:space="preserve"> fosters entrepreneurship and</w:t>
    </w:r>
    <w:r w:rsidRPr="00855202">
      <w:rPr>
        <w:sz w:val="20"/>
        <w:lang w:val="en-GB"/>
      </w:rPr>
      <w:t xml:space="preserve"> community economic development </w:t>
    </w:r>
    <w:r w:rsidR="005B647E">
      <w:rPr>
        <w:sz w:val="20"/>
        <w:lang w:val="en-GB"/>
      </w:rPr>
      <w:t xml:space="preserve">in rural Canada. There are 34 CF offices in British Columbia, mandated to deliver a variety of services ranging from strategic economic planning, technical and advisory services to businesses, loans to small and medium-sized businesses, self-employment assistance programs, and services targeted to youth and </w:t>
    </w:r>
    <w:r w:rsidR="005930BF">
      <w:rPr>
        <w:sz w:val="20"/>
        <w:lang w:val="en-GB"/>
      </w:rPr>
      <w:t>entrepreneurs</w:t>
    </w:r>
    <w:r w:rsidR="005B647E">
      <w:rPr>
        <w:sz w:val="20"/>
        <w:lang w:val="en-GB"/>
      </w:rPr>
      <w:t xml:space="preserve"> with disabilities. CF offices are non-profit corporations run by salaried staff and guided by volunteer boards of directors</w:t>
    </w:r>
    <w:r w:rsidR="005930BF">
      <w:rPr>
        <w:sz w:val="20"/>
        <w:lang w:val="en-GB"/>
      </w:rPr>
      <w:t xml:space="preserve">. </w:t>
    </w:r>
    <w:r w:rsidRPr="00F7423D">
      <w:rPr>
        <w:sz w:val="20"/>
        <w:highlight w:val="green"/>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186A"/>
    <w:multiLevelType w:val="hybridMultilevel"/>
    <w:tmpl w:val="7BA8380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B03A4"/>
    <w:multiLevelType w:val="hybridMultilevel"/>
    <w:tmpl w:val="73DE88F8"/>
    <w:lvl w:ilvl="0" w:tplc="7B40C0A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C209E2"/>
    <w:multiLevelType w:val="hybridMultilevel"/>
    <w:tmpl w:val="1ED4F5FC"/>
    <w:lvl w:ilvl="0" w:tplc="55C613EC">
      <w:start w:val="1"/>
      <w:numFmt w:val="decimal"/>
      <w:lvlText w:val="%1."/>
      <w:lvlJc w:val="left"/>
      <w:pPr>
        <w:ind w:left="144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1C633E36"/>
    <w:multiLevelType w:val="hybridMultilevel"/>
    <w:tmpl w:val="150A8936"/>
    <w:lvl w:ilvl="0" w:tplc="AEB62574">
      <w:start w:val="1"/>
      <w:numFmt w:val="decimal"/>
      <w:lvlText w:val="%1."/>
      <w:lvlJc w:val="left"/>
      <w:pPr>
        <w:ind w:left="720" w:hanging="360"/>
      </w:pPr>
      <w:rPr>
        <w:color w:val="000000" w:themeColor="text1"/>
        <w:lang w:val="en-US"/>
      </w:rPr>
    </w:lvl>
    <w:lvl w:ilvl="1" w:tplc="435CACC4">
      <w:numFmt w:val="bullet"/>
      <w:lvlText w:val="•"/>
      <w:lvlJc w:val="left"/>
      <w:pPr>
        <w:ind w:left="1440" w:hanging="360"/>
      </w:pPr>
      <w:rPr>
        <w:rFonts w:ascii="Calibri" w:eastAsiaTheme="minorHAnsi" w:hAnsi="Calibri" w:cstheme="minorBidi"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30631B"/>
    <w:multiLevelType w:val="hybridMultilevel"/>
    <w:tmpl w:val="A8FECB1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3543079C"/>
    <w:multiLevelType w:val="hybridMultilevel"/>
    <w:tmpl w:val="2072F844"/>
    <w:lvl w:ilvl="0" w:tplc="1009000F">
      <w:start w:val="1"/>
      <w:numFmt w:val="decimal"/>
      <w:lvlText w:val="%1."/>
      <w:lvlJc w:val="left"/>
      <w:pPr>
        <w:ind w:left="937" w:hanging="360"/>
      </w:pPr>
    </w:lvl>
    <w:lvl w:ilvl="1" w:tplc="10090019" w:tentative="1">
      <w:start w:val="1"/>
      <w:numFmt w:val="lowerLetter"/>
      <w:lvlText w:val="%2."/>
      <w:lvlJc w:val="left"/>
      <w:pPr>
        <w:ind w:left="1657" w:hanging="360"/>
      </w:pPr>
    </w:lvl>
    <w:lvl w:ilvl="2" w:tplc="1009001B" w:tentative="1">
      <w:start w:val="1"/>
      <w:numFmt w:val="lowerRoman"/>
      <w:lvlText w:val="%3."/>
      <w:lvlJc w:val="right"/>
      <w:pPr>
        <w:ind w:left="2377" w:hanging="180"/>
      </w:pPr>
    </w:lvl>
    <w:lvl w:ilvl="3" w:tplc="1009000F" w:tentative="1">
      <w:start w:val="1"/>
      <w:numFmt w:val="decimal"/>
      <w:lvlText w:val="%4."/>
      <w:lvlJc w:val="left"/>
      <w:pPr>
        <w:ind w:left="3097" w:hanging="360"/>
      </w:pPr>
    </w:lvl>
    <w:lvl w:ilvl="4" w:tplc="10090019" w:tentative="1">
      <w:start w:val="1"/>
      <w:numFmt w:val="lowerLetter"/>
      <w:lvlText w:val="%5."/>
      <w:lvlJc w:val="left"/>
      <w:pPr>
        <w:ind w:left="3817" w:hanging="360"/>
      </w:pPr>
    </w:lvl>
    <w:lvl w:ilvl="5" w:tplc="1009001B" w:tentative="1">
      <w:start w:val="1"/>
      <w:numFmt w:val="lowerRoman"/>
      <w:lvlText w:val="%6."/>
      <w:lvlJc w:val="right"/>
      <w:pPr>
        <w:ind w:left="4537" w:hanging="180"/>
      </w:pPr>
    </w:lvl>
    <w:lvl w:ilvl="6" w:tplc="1009000F" w:tentative="1">
      <w:start w:val="1"/>
      <w:numFmt w:val="decimal"/>
      <w:lvlText w:val="%7."/>
      <w:lvlJc w:val="left"/>
      <w:pPr>
        <w:ind w:left="5257" w:hanging="360"/>
      </w:pPr>
    </w:lvl>
    <w:lvl w:ilvl="7" w:tplc="10090019" w:tentative="1">
      <w:start w:val="1"/>
      <w:numFmt w:val="lowerLetter"/>
      <w:lvlText w:val="%8."/>
      <w:lvlJc w:val="left"/>
      <w:pPr>
        <w:ind w:left="5977" w:hanging="360"/>
      </w:pPr>
    </w:lvl>
    <w:lvl w:ilvl="8" w:tplc="1009001B" w:tentative="1">
      <w:start w:val="1"/>
      <w:numFmt w:val="lowerRoman"/>
      <w:lvlText w:val="%9."/>
      <w:lvlJc w:val="right"/>
      <w:pPr>
        <w:ind w:left="6697" w:hanging="180"/>
      </w:pPr>
    </w:lvl>
  </w:abstractNum>
  <w:abstractNum w:abstractNumId="6" w15:restartNumberingAfterBreak="0">
    <w:nsid w:val="3D98274A"/>
    <w:multiLevelType w:val="hybridMultilevel"/>
    <w:tmpl w:val="ED3471B8"/>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C30219D"/>
    <w:multiLevelType w:val="hybridMultilevel"/>
    <w:tmpl w:val="640EE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66B1203"/>
    <w:multiLevelType w:val="hybridMultilevel"/>
    <w:tmpl w:val="41C461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5DDA38B4"/>
    <w:multiLevelType w:val="hybridMultilevel"/>
    <w:tmpl w:val="32428F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EC628D4"/>
    <w:multiLevelType w:val="hybridMultilevel"/>
    <w:tmpl w:val="793ECCB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063406"/>
    <w:multiLevelType w:val="hybridMultilevel"/>
    <w:tmpl w:val="D07CB9B6"/>
    <w:lvl w:ilvl="0" w:tplc="1009001B">
      <w:start w:val="1"/>
      <w:numFmt w:val="lowerRoman"/>
      <w:lvlText w:val="%1."/>
      <w:lvlJc w:val="righ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C71044A"/>
    <w:multiLevelType w:val="hybridMultilevel"/>
    <w:tmpl w:val="995A9550"/>
    <w:lvl w:ilvl="0" w:tplc="BC4AEB10">
      <w:start w:val="1"/>
      <w:numFmt w:val="decimal"/>
      <w:lvlText w:val="%1."/>
      <w:lvlJc w:val="lef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4AB17C9"/>
    <w:multiLevelType w:val="multilevel"/>
    <w:tmpl w:val="79C2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27EC2"/>
    <w:multiLevelType w:val="hybridMultilevel"/>
    <w:tmpl w:val="9D5095DE"/>
    <w:lvl w:ilvl="0" w:tplc="1009001B">
      <w:start w:val="1"/>
      <w:numFmt w:val="lowerRoman"/>
      <w:lvlText w:val="%1."/>
      <w:lvlJc w:val="right"/>
      <w:pPr>
        <w:ind w:left="720" w:hanging="360"/>
      </w:pPr>
      <w:rPr>
        <w:rFonts w:hint="default"/>
        <w:b/>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10555568">
    <w:abstractNumId w:val="1"/>
  </w:num>
  <w:num w:numId="2" w16cid:durableId="1880701032">
    <w:abstractNumId w:val="12"/>
  </w:num>
  <w:num w:numId="3" w16cid:durableId="161939543">
    <w:abstractNumId w:val="3"/>
  </w:num>
  <w:num w:numId="4" w16cid:durableId="771438517">
    <w:abstractNumId w:val="4"/>
  </w:num>
  <w:num w:numId="5" w16cid:durableId="724913024">
    <w:abstractNumId w:val="11"/>
  </w:num>
  <w:num w:numId="6" w16cid:durableId="1747268389">
    <w:abstractNumId w:val="14"/>
  </w:num>
  <w:num w:numId="7" w16cid:durableId="1280844316">
    <w:abstractNumId w:val="8"/>
  </w:num>
  <w:num w:numId="8" w16cid:durableId="737634763">
    <w:abstractNumId w:val="6"/>
  </w:num>
  <w:num w:numId="9" w16cid:durableId="1280992610">
    <w:abstractNumId w:val="5"/>
  </w:num>
  <w:num w:numId="10" w16cid:durableId="9257713">
    <w:abstractNumId w:val="10"/>
  </w:num>
  <w:num w:numId="11" w16cid:durableId="1523124897">
    <w:abstractNumId w:val="2"/>
  </w:num>
  <w:num w:numId="12" w16cid:durableId="1532036202">
    <w:abstractNumId w:val="13"/>
  </w:num>
  <w:num w:numId="13" w16cid:durableId="1147085122">
    <w:abstractNumId w:val="7"/>
  </w:num>
  <w:num w:numId="14" w16cid:durableId="814877469">
    <w:abstractNumId w:val="9"/>
  </w:num>
  <w:num w:numId="15" w16cid:durableId="36137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23A"/>
    <w:rsid w:val="000032F8"/>
    <w:rsid w:val="00042B8D"/>
    <w:rsid w:val="00071175"/>
    <w:rsid w:val="000A68DF"/>
    <w:rsid w:val="000B0ABE"/>
    <w:rsid w:val="000E446D"/>
    <w:rsid w:val="000F1E3F"/>
    <w:rsid w:val="000F794C"/>
    <w:rsid w:val="001048DF"/>
    <w:rsid w:val="00124D7E"/>
    <w:rsid w:val="00136C60"/>
    <w:rsid w:val="00164DFE"/>
    <w:rsid w:val="00183FEA"/>
    <w:rsid w:val="001A0388"/>
    <w:rsid w:val="001A55FE"/>
    <w:rsid w:val="001A5D7A"/>
    <w:rsid w:val="001D41CE"/>
    <w:rsid w:val="001F63A6"/>
    <w:rsid w:val="0020118B"/>
    <w:rsid w:val="00204964"/>
    <w:rsid w:val="002055AF"/>
    <w:rsid w:val="0022039D"/>
    <w:rsid w:val="002733B9"/>
    <w:rsid w:val="002B1845"/>
    <w:rsid w:val="002F0A60"/>
    <w:rsid w:val="00305D11"/>
    <w:rsid w:val="00325025"/>
    <w:rsid w:val="00326C17"/>
    <w:rsid w:val="00352DD5"/>
    <w:rsid w:val="00354058"/>
    <w:rsid w:val="00370843"/>
    <w:rsid w:val="00387C16"/>
    <w:rsid w:val="003B364D"/>
    <w:rsid w:val="003C7DFC"/>
    <w:rsid w:val="003D46F2"/>
    <w:rsid w:val="003D6046"/>
    <w:rsid w:val="003E2596"/>
    <w:rsid w:val="00416424"/>
    <w:rsid w:val="00435FD8"/>
    <w:rsid w:val="0044224D"/>
    <w:rsid w:val="004707C8"/>
    <w:rsid w:val="00472B5D"/>
    <w:rsid w:val="00476214"/>
    <w:rsid w:val="004E0068"/>
    <w:rsid w:val="00524D65"/>
    <w:rsid w:val="0053249B"/>
    <w:rsid w:val="00535C65"/>
    <w:rsid w:val="0055116A"/>
    <w:rsid w:val="0056519D"/>
    <w:rsid w:val="005930BF"/>
    <w:rsid w:val="005B647E"/>
    <w:rsid w:val="005C2129"/>
    <w:rsid w:val="005C3625"/>
    <w:rsid w:val="005E7325"/>
    <w:rsid w:val="0061366E"/>
    <w:rsid w:val="00614CA8"/>
    <w:rsid w:val="0063129F"/>
    <w:rsid w:val="00637BD2"/>
    <w:rsid w:val="006404B9"/>
    <w:rsid w:val="00663C75"/>
    <w:rsid w:val="00674056"/>
    <w:rsid w:val="006C2CCB"/>
    <w:rsid w:val="006C565E"/>
    <w:rsid w:val="006C618A"/>
    <w:rsid w:val="006F52BA"/>
    <w:rsid w:val="006F5326"/>
    <w:rsid w:val="00716865"/>
    <w:rsid w:val="00716BF1"/>
    <w:rsid w:val="00721398"/>
    <w:rsid w:val="00741AB5"/>
    <w:rsid w:val="0074505F"/>
    <w:rsid w:val="00790628"/>
    <w:rsid w:val="008070B2"/>
    <w:rsid w:val="00852F85"/>
    <w:rsid w:val="00855202"/>
    <w:rsid w:val="00876631"/>
    <w:rsid w:val="00876ADF"/>
    <w:rsid w:val="008835BB"/>
    <w:rsid w:val="00896157"/>
    <w:rsid w:val="008B0CCB"/>
    <w:rsid w:val="008F7F84"/>
    <w:rsid w:val="00903BAE"/>
    <w:rsid w:val="0090536B"/>
    <w:rsid w:val="009212B6"/>
    <w:rsid w:val="0096161E"/>
    <w:rsid w:val="00971204"/>
    <w:rsid w:val="009A7DFF"/>
    <w:rsid w:val="009F415F"/>
    <w:rsid w:val="00A57ABB"/>
    <w:rsid w:val="00A65AAC"/>
    <w:rsid w:val="00A9055B"/>
    <w:rsid w:val="00A913D3"/>
    <w:rsid w:val="00A97695"/>
    <w:rsid w:val="00AD3AAD"/>
    <w:rsid w:val="00B069C6"/>
    <w:rsid w:val="00B3074E"/>
    <w:rsid w:val="00B521B6"/>
    <w:rsid w:val="00B65BB9"/>
    <w:rsid w:val="00B86B60"/>
    <w:rsid w:val="00B91766"/>
    <w:rsid w:val="00BB1612"/>
    <w:rsid w:val="00BB7B74"/>
    <w:rsid w:val="00BD0981"/>
    <w:rsid w:val="00BE1FA1"/>
    <w:rsid w:val="00BE6567"/>
    <w:rsid w:val="00C06A6C"/>
    <w:rsid w:val="00C20382"/>
    <w:rsid w:val="00C23C23"/>
    <w:rsid w:val="00C7787C"/>
    <w:rsid w:val="00C85229"/>
    <w:rsid w:val="00CC123A"/>
    <w:rsid w:val="00CC6EE3"/>
    <w:rsid w:val="00CE1F1B"/>
    <w:rsid w:val="00D011D2"/>
    <w:rsid w:val="00D01222"/>
    <w:rsid w:val="00D25518"/>
    <w:rsid w:val="00D262DF"/>
    <w:rsid w:val="00D27BC2"/>
    <w:rsid w:val="00D3443B"/>
    <w:rsid w:val="00D520FA"/>
    <w:rsid w:val="00D67217"/>
    <w:rsid w:val="00D97949"/>
    <w:rsid w:val="00DE095B"/>
    <w:rsid w:val="00E347D4"/>
    <w:rsid w:val="00E351D5"/>
    <w:rsid w:val="00E361E6"/>
    <w:rsid w:val="00E514E4"/>
    <w:rsid w:val="00E53E7D"/>
    <w:rsid w:val="00E72307"/>
    <w:rsid w:val="00E81EA2"/>
    <w:rsid w:val="00E9578A"/>
    <w:rsid w:val="00EB630F"/>
    <w:rsid w:val="00EB684E"/>
    <w:rsid w:val="00EC74F0"/>
    <w:rsid w:val="00ED786E"/>
    <w:rsid w:val="00F019C9"/>
    <w:rsid w:val="00F105C2"/>
    <w:rsid w:val="00F40352"/>
    <w:rsid w:val="00F4504C"/>
    <w:rsid w:val="00F464A9"/>
    <w:rsid w:val="00F609C9"/>
    <w:rsid w:val="00F7423D"/>
    <w:rsid w:val="00FA471E"/>
    <w:rsid w:val="00FC4FC7"/>
    <w:rsid w:val="00FE58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A5987"/>
  <w15:docId w15:val="{54ABAEC8-1A74-4509-B4A0-670D9102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3A"/>
    <w:rPr>
      <w:rFonts w:ascii="Tahoma" w:hAnsi="Tahoma" w:cs="Tahoma"/>
      <w:sz w:val="16"/>
      <w:szCs w:val="16"/>
    </w:rPr>
  </w:style>
  <w:style w:type="paragraph" w:styleId="Header">
    <w:name w:val="header"/>
    <w:basedOn w:val="Normal"/>
    <w:link w:val="HeaderChar"/>
    <w:uiPriority w:val="99"/>
    <w:unhideWhenUsed/>
    <w:rsid w:val="00CC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23A"/>
  </w:style>
  <w:style w:type="paragraph" w:styleId="Footer">
    <w:name w:val="footer"/>
    <w:basedOn w:val="Normal"/>
    <w:link w:val="FooterChar"/>
    <w:uiPriority w:val="99"/>
    <w:unhideWhenUsed/>
    <w:rsid w:val="00CC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23A"/>
  </w:style>
  <w:style w:type="paragraph" w:styleId="ListParagraph">
    <w:name w:val="List Paragraph"/>
    <w:basedOn w:val="Normal"/>
    <w:uiPriority w:val="34"/>
    <w:qFormat/>
    <w:rsid w:val="008F7F84"/>
    <w:pPr>
      <w:ind w:left="720"/>
      <w:contextualSpacing/>
    </w:pPr>
  </w:style>
  <w:style w:type="paragraph" w:customStyle="1" w:styleId="Default">
    <w:name w:val="Default"/>
    <w:rsid w:val="008F7F84"/>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table" w:styleId="TableGrid">
    <w:name w:val="Table Grid"/>
    <w:basedOn w:val="TableNormal"/>
    <w:uiPriority w:val="59"/>
    <w:rsid w:val="00F60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855202"/>
    <w:pPr>
      <w:overflowPunct w:val="0"/>
      <w:autoSpaceDE w:val="0"/>
      <w:autoSpaceDN w:val="0"/>
      <w:adjustRightInd w:val="0"/>
      <w:spacing w:after="0" w:line="240" w:lineRule="auto"/>
      <w:textAlignment w:val="baseline"/>
    </w:pPr>
    <w:rPr>
      <w:rFonts w:ascii="Arial" w:eastAsia="Times New Roman" w:hAnsi="Arial" w:cs="Arial"/>
      <w:sz w:val="24"/>
      <w:szCs w:val="20"/>
      <w:lang w:val="en-US"/>
    </w:rPr>
  </w:style>
  <w:style w:type="character" w:customStyle="1" w:styleId="BodyText2Char">
    <w:name w:val="Body Text 2 Char"/>
    <w:basedOn w:val="DefaultParagraphFont"/>
    <w:link w:val="BodyText2"/>
    <w:semiHidden/>
    <w:rsid w:val="00855202"/>
    <w:rPr>
      <w:rFonts w:ascii="Arial" w:eastAsia="Times New Roman" w:hAnsi="Arial" w:cs="Arial"/>
      <w:sz w:val="24"/>
      <w:szCs w:val="20"/>
      <w:lang w:val="en-US"/>
    </w:rPr>
  </w:style>
  <w:style w:type="character" w:styleId="CommentReference">
    <w:name w:val="annotation reference"/>
    <w:basedOn w:val="DefaultParagraphFont"/>
    <w:uiPriority w:val="99"/>
    <w:semiHidden/>
    <w:unhideWhenUsed/>
    <w:rsid w:val="00855202"/>
    <w:rPr>
      <w:sz w:val="16"/>
      <w:szCs w:val="16"/>
    </w:rPr>
  </w:style>
  <w:style w:type="paragraph" w:styleId="CommentText">
    <w:name w:val="annotation text"/>
    <w:basedOn w:val="Normal"/>
    <w:link w:val="CommentTextChar"/>
    <w:uiPriority w:val="99"/>
    <w:semiHidden/>
    <w:unhideWhenUsed/>
    <w:rsid w:val="00855202"/>
    <w:pPr>
      <w:spacing w:line="240" w:lineRule="auto"/>
    </w:pPr>
    <w:rPr>
      <w:sz w:val="20"/>
      <w:szCs w:val="20"/>
    </w:rPr>
  </w:style>
  <w:style w:type="character" w:customStyle="1" w:styleId="CommentTextChar">
    <w:name w:val="Comment Text Char"/>
    <w:basedOn w:val="DefaultParagraphFont"/>
    <w:link w:val="CommentText"/>
    <w:uiPriority w:val="99"/>
    <w:semiHidden/>
    <w:rsid w:val="00855202"/>
    <w:rPr>
      <w:sz w:val="20"/>
      <w:szCs w:val="20"/>
    </w:rPr>
  </w:style>
  <w:style w:type="paragraph" w:styleId="CommentSubject">
    <w:name w:val="annotation subject"/>
    <w:basedOn w:val="CommentText"/>
    <w:next w:val="CommentText"/>
    <w:link w:val="CommentSubjectChar"/>
    <w:uiPriority w:val="99"/>
    <w:semiHidden/>
    <w:unhideWhenUsed/>
    <w:rsid w:val="00855202"/>
    <w:rPr>
      <w:b/>
      <w:bCs/>
    </w:rPr>
  </w:style>
  <w:style w:type="character" w:customStyle="1" w:styleId="CommentSubjectChar">
    <w:name w:val="Comment Subject Char"/>
    <w:basedOn w:val="CommentTextChar"/>
    <w:link w:val="CommentSubject"/>
    <w:uiPriority w:val="99"/>
    <w:semiHidden/>
    <w:rsid w:val="00855202"/>
    <w:rPr>
      <w:b/>
      <w:bCs/>
      <w:sz w:val="20"/>
      <w:szCs w:val="20"/>
    </w:rPr>
  </w:style>
  <w:style w:type="character" w:styleId="Hyperlink">
    <w:name w:val="Hyperlink"/>
    <w:basedOn w:val="DefaultParagraphFont"/>
    <w:uiPriority w:val="99"/>
    <w:unhideWhenUsed/>
    <w:rsid w:val="000A68DF"/>
    <w:rPr>
      <w:color w:val="0000FF" w:themeColor="hyperlink"/>
      <w:u w:val="single"/>
    </w:rPr>
  </w:style>
  <w:style w:type="paragraph" w:styleId="FootnoteText">
    <w:name w:val="footnote text"/>
    <w:basedOn w:val="Normal"/>
    <w:link w:val="FootnoteTextChar"/>
    <w:uiPriority w:val="99"/>
    <w:semiHidden/>
    <w:unhideWhenUsed/>
    <w:rsid w:val="004E00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068"/>
    <w:rPr>
      <w:sz w:val="20"/>
      <w:szCs w:val="20"/>
    </w:rPr>
  </w:style>
  <w:style w:type="character" w:styleId="FootnoteReference">
    <w:name w:val="footnote reference"/>
    <w:basedOn w:val="DefaultParagraphFont"/>
    <w:uiPriority w:val="99"/>
    <w:semiHidden/>
    <w:unhideWhenUsed/>
    <w:rsid w:val="004E0068"/>
    <w:rPr>
      <w:vertAlign w:val="superscript"/>
    </w:rPr>
  </w:style>
  <w:style w:type="paragraph" w:styleId="Revision">
    <w:name w:val="Revision"/>
    <w:hidden/>
    <w:uiPriority w:val="99"/>
    <w:semiHidden/>
    <w:rsid w:val="005B647E"/>
    <w:pPr>
      <w:spacing w:after="0" w:line="240" w:lineRule="auto"/>
    </w:pPr>
  </w:style>
  <w:style w:type="character" w:styleId="UnresolvedMention">
    <w:name w:val="Unresolved Mention"/>
    <w:basedOn w:val="DefaultParagraphFont"/>
    <w:uiPriority w:val="99"/>
    <w:semiHidden/>
    <w:unhideWhenUsed/>
    <w:rsid w:val="0059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20805">
      <w:bodyDiv w:val="1"/>
      <w:marLeft w:val="0"/>
      <w:marRight w:val="0"/>
      <w:marTop w:val="0"/>
      <w:marBottom w:val="0"/>
      <w:divBdr>
        <w:top w:val="none" w:sz="0" w:space="0" w:color="auto"/>
        <w:left w:val="none" w:sz="0" w:space="0" w:color="auto"/>
        <w:bottom w:val="none" w:sz="0" w:space="0" w:color="auto"/>
        <w:right w:val="none" w:sz="0" w:space="0" w:color="auto"/>
      </w:divBdr>
      <w:divsChild>
        <w:div w:id="1974748470">
          <w:marLeft w:val="0"/>
          <w:marRight w:val="0"/>
          <w:marTop w:val="0"/>
          <w:marBottom w:val="0"/>
          <w:divBdr>
            <w:top w:val="none" w:sz="0" w:space="0" w:color="auto"/>
            <w:left w:val="none" w:sz="0" w:space="0" w:color="auto"/>
            <w:bottom w:val="none" w:sz="0" w:space="0" w:color="auto"/>
            <w:right w:val="none" w:sz="0" w:space="0" w:color="auto"/>
          </w:divBdr>
          <w:divsChild>
            <w:div w:id="1122383982">
              <w:marLeft w:val="0"/>
              <w:marRight w:val="0"/>
              <w:marTop w:val="0"/>
              <w:marBottom w:val="0"/>
              <w:divBdr>
                <w:top w:val="none" w:sz="0" w:space="0" w:color="auto"/>
                <w:left w:val="none" w:sz="0" w:space="0" w:color="auto"/>
                <w:bottom w:val="none" w:sz="0" w:space="0" w:color="auto"/>
                <w:right w:val="none" w:sz="0" w:space="0" w:color="auto"/>
              </w:divBdr>
              <w:divsChild>
                <w:div w:id="128669697">
                  <w:marLeft w:val="0"/>
                  <w:marRight w:val="0"/>
                  <w:marTop w:val="0"/>
                  <w:marBottom w:val="0"/>
                  <w:divBdr>
                    <w:top w:val="none" w:sz="0" w:space="0" w:color="auto"/>
                    <w:left w:val="none" w:sz="0" w:space="0" w:color="auto"/>
                    <w:bottom w:val="none" w:sz="0" w:space="0" w:color="auto"/>
                    <w:right w:val="none" w:sz="0" w:space="0" w:color="auto"/>
                  </w:divBdr>
                  <w:divsChild>
                    <w:div w:id="510535746">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0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F859A-74D5-4FDC-83F0-141021F0E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727</Words>
  <Characters>4751</Characters>
  <Application>Microsoft Office Word</Application>
  <DocSecurity>0</DocSecurity>
  <Lines>75</Lines>
  <Paragraphs>32</Paragraphs>
  <ScaleCrop>false</ScaleCrop>
  <HeadingPairs>
    <vt:vector size="2" baseType="variant">
      <vt:variant>
        <vt:lpstr>Title</vt:lpstr>
      </vt:variant>
      <vt:variant>
        <vt:i4>1</vt:i4>
      </vt:variant>
    </vt:vector>
  </HeadingPairs>
  <TitlesOfParts>
    <vt:vector size="1" baseType="lpstr">
      <vt:lpstr/>
    </vt:vector>
  </TitlesOfParts>
  <Company>Western Economic Diversification</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Cahoon</dc:creator>
  <cp:keywords/>
  <dc:description/>
  <cp:lastModifiedBy>Ais Sheridan</cp:lastModifiedBy>
  <cp:revision>19</cp:revision>
  <dcterms:created xsi:type="dcterms:W3CDTF">2025-04-16T20:30:00Z</dcterms:created>
  <dcterms:modified xsi:type="dcterms:W3CDTF">2026-04-21T17:45:00Z</dcterms:modified>
</cp:coreProperties>
</file>